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right"/>
        <w:rPr>
          <w:rFonts w:ascii="Times New Roman" w:hAnsi="Times New Roman" w:cs="Times New Roman"/>
          <w:b/>
          <w:b/>
          <w:sz w:val="28"/>
          <w:szCs w:val="28"/>
        </w:rPr>
      </w:pPr>
      <w:r>
        <w:rPr>
          <w:rFonts w:cs="Times New Roman" w:ascii="Times New Roman" w:hAnsi="Times New Roman"/>
          <w:b/>
          <w:sz w:val="28"/>
          <w:szCs w:val="28"/>
        </w:rPr>
        <w:t>УТВЕРЖДАЮ</w:t>
      </w:r>
    </w:p>
    <w:p>
      <w:pPr>
        <w:pStyle w:val="Normal"/>
        <w:jc w:val="right"/>
        <w:rPr>
          <w:rFonts w:ascii="Times New Roman" w:hAnsi="Times New Roman" w:cs="Times New Roman"/>
          <w:sz w:val="28"/>
          <w:szCs w:val="28"/>
        </w:rPr>
      </w:pPr>
      <w:r>
        <w:rPr>
          <w:rFonts w:cs="Times New Roman" w:ascii="Times New Roman" w:hAnsi="Times New Roman"/>
          <w:sz w:val="28"/>
          <w:szCs w:val="28"/>
        </w:rPr>
        <w:t>Генеральный директор АО «СамРЭК»_______________Д.О.Воловельский</w:t>
      </w:r>
    </w:p>
    <w:p>
      <w:pPr>
        <w:pStyle w:val="Normal"/>
        <w:jc w:val="right"/>
        <w:rPr>
          <w:rFonts w:ascii="Times New Roman" w:hAnsi="Times New Roman" w:cs="Times New Roman"/>
          <w:sz w:val="28"/>
          <w:szCs w:val="28"/>
        </w:rPr>
      </w:pPr>
      <w:r>
        <w:rPr>
          <w:rFonts w:cs="Times New Roman" w:ascii="Times New Roman" w:hAnsi="Times New Roman"/>
          <w:sz w:val="28"/>
          <w:szCs w:val="28"/>
        </w:rPr>
        <w:t>от «___»__________202</w:t>
      </w:r>
      <w:r>
        <w:rPr>
          <w:rFonts w:eastAsia="Calibri" w:cs="Times New Roman" w:ascii="Times New Roman" w:hAnsi="Times New Roman" w:eastAsiaTheme="minorHAnsi"/>
          <w:color w:val="auto"/>
          <w:kern w:val="0"/>
          <w:sz w:val="28"/>
          <w:szCs w:val="28"/>
          <w:lang w:val="ru-RU" w:eastAsia="en-US" w:bidi="ar-SA"/>
        </w:rPr>
        <w:t>2</w:t>
      </w:r>
      <w:r>
        <w:rPr>
          <w:rFonts w:cs="Times New Roman" w:ascii="Times New Roman" w:hAnsi="Times New Roman"/>
          <w:sz w:val="28"/>
          <w:szCs w:val="28"/>
        </w:rPr>
        <w:t>г.</w:t>
      </w:r>
    </w:p>
    <w:p>
      <w:pPr>
        <w:pStyle w:val="Normal"/>
        <w:jc w:val="right"/>
        <w:rPr>
          <w:rFonts w:ascii="Times New Roman" w:hAnsi="Times New Roman" w:cs="Times New Roman"/>
          <w:sz w:val="28"/>
          <w:szCs w:val="28"/>
        </w:rPr>
      </w:pPr>
      <w:r>
        <w:rPr>
          <w:rFonts w:cs="Times New Roman" w:ascii="Times New Roman" w:hAnsi="Times New Roman"/>
          <w:sz w:val="28"/>
          <w:szCs w:val="28"/>
        </w:rPr>
      </w:r>
    </w:p>
    <w:p>
      <w:pPr>
        <w:pStyle w:val="Normal"/>
        <w:ind w:left="-426" w:hanging="0"/>
        <w:jc w:val="center"/>
        <w:rPr>
          <w:rFonts w:ascii="Times New Roman" w:hAnsi="Times New Roman" w:cs="Times New Roman"/>
          <w:b/>
          <w:b/>
          <w:sz w:val="28"/>
          <w:szCs w:val="28"/>
        </w:rPr>
      </w:pPr>
      <w:r>
        <w:rPr>
          <w:rFonts w:cs="Times New Roman" w:ascii="Times New Roman" w:hAnsi="Times New Roman"/>
          <w:b/>
          <w:sz w:val="28"/>
          <w:szCs w:val="28"/>
        </w:rPr>
        <w:t>Информация о выполнении плана реализации антикоррупционных мероприятий АО «СамРЭК»</w:t>
      </w:r>
    </w:p>
    <w:tbl>
      <w:tblPr>
        <w:tblW w:w="14742" w:type="dxa"/>
        <w:jc w:val="left"/>
        <w:tblInd w:w="-10" w:type="dxa"/>
        <w:tblLayout w:type="fixed"/>
        <w:tblCellMar>
          <w:top w:w="0" w:type="dxa"/>
          <w:left w:w="108" w:type="dxa"/>
          <w:bottom w:w="0" w:type="dxa"/>
          <w:right w:w="108" w:type="dxa"/>
        </w:tblCellMar>
        <w:tblLook w:firstRow="1" w:noVBand="1" w:lastRow="0" w:firstColumn="1" w:lastColumn="0" w:noHBand="0" w:val="04a0"/>
      </w:tblPr>
      <w:tblGrid>
        <w:gridCol w:w="959"/>
        <w:gridCol w:w="6220"/>
        <w:gridCol w:w="7563"/>
      </w:tblGrid>
      <w:tr>
        <w:trPr>
          <w:trHeight w:val="1095" w:hRule="atLeast"/>
        </w:trPr>
        <w:tc>
          <w:tcPr>
            <w:tcW w:w="95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b/>
                <w:b/>
                <w:bCs/>
                <w:color w:val="000000"/>
                <w:sz w:val="28"/>
                <w:szCs w:val="28"/>
                <w:lang w:eastAsia="ru-RU"/>
              </w:rPr>
            </w:pPr>
            <w:r>
              <w:rPr>
                <w:rFonts w:eastAsia="Times New Roman" w:cs="Times New Roman" w:ascii="Times New Roman" w:hAnsi="Times New Roman"/>
                <w:b/>
                <w:bCs/>
                <w:color w:val="000000"/>
                <w:sz w:val="28"/>
                <w:szCs w:val="28"/>
                <w:lang w:eastAsia="ru-RU"/>
              </w:rPr>
              <w:t xml:space="preserve">№ </w:t>
            </w:r>
            <w:r>
              <w:rPr>
                <w:rFonts w:eastAsia="Times New Roman" w:cs="Times New Roman" w:ascii="Times New Roman" w:hAnsi="Times New Roman"/>
                <w:b/>
                <w:bCs/>
                <w:color w:val="000000"/>
                <w:sz w:val="28"/>
                <w:szCs w:val="28"/>
                <w:lang w:eastAsia="ru-RU"/>
              </w:rPr>
              <w:t>п/п</w:t>
            </w:r>
          </w:p>
        </w:tc>
        <w:tc>
          <w:tcPr>
            <w:tcW w:w="622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b/>
                <w:b/>
                <w:bCs/>
                <w:color w:val="000000"/>
                <w:sz w:val="28"/>
                <w:szCs w:val="28"/>
                <w:lang w:eastAsia="ru-RU"/>
              </w:rPr>
            </w:pPr>
            <w:r>
              <w:rPr>
                <w:rFonts w:eastAsia="Times New Roman" w:cs="Times New Roman" w:ascii="Times New Roman" w:hAnsi="Times New Roman"/>
                <w:b/>
                <w:bCs/>
                <w:color w:val="000000"/>
                <w:sz w:val="28"/>
                <w:szCs w:val="28"/>
                <w:lang w:eastAsia="ru-RU"/>
              </w:rPr>
              <w:t>Наименование мероприятий</w:t>
            </w:r>
          </w:p>
        </w:tc>
        <w:tc>
          <w:tcPr>
            <w:tcW w:w="756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b/>
                <w:b/>
                <w:bCs/>
                <w:color w:val="000000"/>
                <w:sz w:val="28"/>
                <w:szCs w:val="28"/>
                <w:lang w:eastAsia="ru-RU"/>
              </w:rPr>
            </w:pPr>
            <w:r>
              <w:rPr>
                <w:rFonts w:eastAsia="Times New Roman" w:cs="Times New Roman" w:ascii="Times New Roman" w:hAnsi="Times New Roman"/>
                <w:b/>
                <w:bCs/>
                <w:color w:val="000000"/>
                <w:sz w:val="28"/>
                <w:szCs w:val="28"/>
                <w:lang w:eastAsia="ru-RU"/>
              </w:rPr>
              <w:t>Информация об исполнении мероприятий</w:t>
            </w:r>
          </w:p>
        </w:tc>
      </w:tr>
      <w:tr>
        <w:trPr>
          <w:trHeight w:val="876" w:hRule="atLeast"/>
        </w:trPr>
        <w:tc>
          <w:tcPr>
            <w:tcW w:w="95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1</w:t>
            </w:r>
          </w:p>
        </w:tc>
        <w:tc>
          <w:tcPr>
            <w:tcW w:w="622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xml:space="preserve">Ежегодное заполнение декларации  о конфликте интересов </w:t>
            </w:r>
          </w:p>
        </w:tc>
        <w:tc>
          <w:tcPr>
            <w:tcW w:w="756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Декларация о конфликте интересов заполнена и представлена должностными лицами.</w:t>
            </w:r>
          </w:p>
        </w:tc>
      </w:tr>
      <w:tr>
        <w:trPr>
          <w:trHeight w:val="2295" w:hRule="atLeast"/>
        </w:trPr>
        <w:tc>
          <w:tcPr>
            <w:tcW w:w="95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2</w:t>
            </w:r>
          </w:p>
        </w:tc>
        <w:tc>
          <w:tcPr>
            <w:tcW w:w="622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Проведение периодической оценки коррупционных рисков в целях выявления сфер деятельности организации, наиболее подверженных таким рискам, и разработки соответствующих антикоррупционных мер</w:t>
            </w:r>
          </w:p>
        </w:tc>
        <w:tc>
          <w:tcPr>
            <w:tcW w:w="756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Times New Roman" w:hAnsi="Times New Roman" w:eastAsia="Times New Roman" w:cs="Times New Roman"/>
                <w:color w:val="000000"/>
                <w:sz w:val="28"/>
                <w:szCs w:val="28"/>
                <w:lang w:eastAsia="ru-RU"/>
              </w:rPr>
            </w:pPr>
            <w:r>
              <w:rPr>
                <w:rFonts w:eastAsia="Times New Roman" w:cs="Times New Roman" w:ascii="Times New Roman;serif" w:hAnsi="Times New Roman;serif"/>
                <w:color w:val="000000"/>
                <w:sz w:val="28"/>
                <w:szCs w:val="28"/>
                <w:lang w:eastAsia="ru-RU"/>
              </w:rPr>
              <w:t>Проведена оценка коррупционных рисков в сфере осуществления закупок. За 11 месяцев 2022 года по АО СамРЭК было осуществлено 8 конкурентных закупок на сумму более 6 млн.руб., при этом все они проходили в электронной форме, самой «прозрачной» и конкурентоспособной форме закупок. Среднее количество участников в одной процедуре составляет 2, что говорит о высокой конкуренции.</w:t>
            </w:r>
            <w:r>
              <w:rPr>
                <w:rFonts w:eastAsia="Times New Roman" w:cs="Times New Roman" w:ascii="Times New Roman" w:hAnsi="Times New Roman"/>
                <w:color w:val="000000"/>
                <w:sz w:val="28"/>
                <w:szCs w:val="28"/>
                <w:lang w:eastAsia="ru-RU"/>
              </w:rPr>
              <w:t xml:space="preserve"> </w:t>
            </w:r>
          </w:p>
        </w:tc>
      </w:tr>
      <w:tr>
        <w:trPr>
          <w:trHeight w:val="1346" w:hRule="atLeast"/>
        </w:trPr>
        <w:tc>
          <w:tcPr>
            <w:tcW w:w="95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3</w:t>
            </w:r>
          </w:p>
        </w:tc>
        <w:tc>
          <w:tcPr>
            <w:tcW w:w="622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160"/>
              <w:rPr>
                <w:rFonts w:ascii="Times New Roman" w:hAnsi="Times New Roman" w:cs="Times New Roman"/>
                <w:sz w:val="28"/>
                <w:szCs w:val="28"/>
              </w:rPr>
            </w:pPr>
            <w:r>
              <w:rPr>
                <w:rFonts w:cs="Times New Roman" w:ascii="Times New Roman" w:hAnsi="Times New Roman"/>
                <w:bCs/>
                <w:sz w:val="28"/>
                <w:szCs w:val="28"/>
              </w:rPr>
              <w:t>Ежегодное ознакомление работников под роспись с нормативными документами, регламентирующими вопросы предупреждения и противодействия коррупции в организации</w:t>
            </w:r>
          </w:p>
        </w:tc>
        <w:tc>
          <w:tcPr>
            <w:tcW w:w="756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Изменения, внесенные в 2020 году в Федеральный Закон от 25.12.2088 №274-ФЗ №О противодействии коррупции», касались лиц, замещающих государственные и муниципальные должности. Информация о внесении изменений размещена на информационном стенде.</w:t>
            </w:r>
          </w:p>
        </w:tc>
      </w:tr>
      <w:tr>
        <w:trPr>
          <w:trHeight w:val="1405" w:hRule="atLeast"/>
        </w:trPr>
        <w:tc>
          <w:tcPr>
            <w:tcW w:w="95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4</w:t>
            </w:r>
          </w:p>
        </w:tc>
        <w:tc>
          <w:tcPr>
            <w:tcW w:w="622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Проведение обучающих мероприятий по вопросам профилактики и противодействия коррупции</w:t>
            </w:r>
          </w:p>
        </w:tc>
        <w:tc>
          <w:tcPr>
            <w:tcW w:w="756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Проведены ежеквартальные заседания комиссии с составлением протоколов. Ознакомление с антикоррупционным законодательством происходит при поступлении на работу, а также изменении нового законодательства в данной сфере.</w:t>
            </w:r>
          </w:p>
        </w:tc>
      </w:tr>
      <w:tr>
        <w:trPr>
          <w:trHeight w:val="1405" w:hRule="atLeast"/>
        </w:trPr>
        <w:tc>
          <w:tcPr>
            <w:tcW w:w="95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5</w:t>
            </w:r>
          </w:p>
        </w:tc>
        <w:tc>
          <w:tcPr>
            <w:tcW w:w="622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Times New Roman" w:hAnsi="Times New Roman" w:eastAsia="Times New Roman" w:cs="Times New Roman"/>
                <w:color w:val="000000"/>
                <w:sz w:val="28"/>
                <w:szCs w:val="28"/>
                <w:lang w:eastAsia="ru-RU"/>
              </w:rPr>
            </w:pPr>
            <w:r>
              <w:rPr>
                <w:rFonts w:cs="Times New Roman" w:ascii="Times New Roman" w:hAnsi="Times New Roman"/>
                <w:sz w:val="28"/>
                <w:szCs w:val="28"/>
              </w:rPr>
              <w:t>Организация индивидуального консультирования работников по вопросам применения (соблюдения) антикоррупционных стандартов и процедур</w:t>
            </w:r>
          </w:p>
        </w:tc>
        <w:tc>
          <w:tcPr>
            <w:tcW w:w="756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В течение 202</w:t>
            </w:r>
            <w:r>
              <w:rPr>
                <w:rFonts w:eastAsia="Times New Roman" w:cs="Times New Roman" w:ascii="Times New Roman" w:hAnsi="Times New Roman"/>
                <w:color w:val="000000"/>
                <w:kern w:val="0"/>
                <w:sz w:val="28"/>
                <w:szCs w:val="28"/>
                <w:lang w:val="ru-RU" w:eastAsia="ru-RU" w:bidi="ar-SA"/>
              </w:rPr>
              <w:t xml:space="preserve">2 </w:t>
            </w:r>
            <w:r>
              <w:rPr>
                <w:rFonts w:eastAsia="Times New Roman" w:cs="Times New Roman" w:ascii="Times New Roman" w:hAnsi="Times New Roman"/>
                <w:color w:val="000000"/>
                <w:sz w:val="28"/>
                <w:szCs w:val="28"/>
                <w:lang w:eastAsia="ru-RU"/>
              </w:rPr>
              <w:t>года обращений за консультированием работников по вопросам применения (соблюдению) антикоррупционных стандартов и процедур не поступало.</w:t>
            </w:r>
          </w:p>
        </w:tc>
      </w:tr>
      <w:tr>
        <w:trPr>
          <w:trHeight w:val="1405" w:hRule="atLeast"/>
        </w:trPr>
        <w:tc>
          <w:tcPr>
            <w:tcW w:w="95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6</w:t>
            </w:r>
          </w:p>
        </w:tc>
        <w:tc>
          <w:tcPr>
            <w:tcW w:w="622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Times New Roman" w:hAnsi="Times New Roman" w:cs="Times New Roman"/>
                <w:sz w:val="28"/>
                <w:szCs w:val="28"/>
              </w:rPr>
            </w:pPr>
            <w:r>
              <w:rPr>
                <w:rFonts w:cs="Times New Roman" w:ascii="Times New Roman" w:hAnsi="Times New Roman"/>
                <w:sz w:val="28"/>
                <w:szCs w:val="28"/>
              </w:rPr>
              <w:t>Дополнение стенда по вопросам противодействия проявлениям коррупции, размещение информации на сайте Организации</w:t>
            </w:r>
          </w:p>
        </w:tc>
        <w:tc>
          <w:tcPr>
            <w:tcW w:w="756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Информационный стенд по вопросам противодействия проявлениям коррупции располагается на входе в организацию и дополняется по мере внесения изменений в Законодательство.</w:t>
            </w:r>
          </w:p>
        </w:tc>
      </w:tr>
      <w:tr>
        <w:trPr>
          <w:trHeight w:val="1386" w:hRule="atLeast"/>
        </w:trPr>
        <w:tc>
          <w:tcPr>
            <w:tcW w:w="95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7</w:t>
            </w:r>
          </w:p>
        </w:tc>
        <w:tc>
          <w:tcPr>
            <w:tcW w:w="622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Осуществление регулярного контроля соблюдения внутренних процедур</w:t>
            </w:r>
          </w:p>
        </w:tc>
        <w:tc>
          <w:tcPr>
            <w:tcW w:w="756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xml:space="preserve">Проведены ежеквартальные заседания комиссии с составлением протоколов, ведется регулярный контроль за выполнением соблюдения внутренних процедур. </w:t>
            </w:r>
          </w:p>
          <w:p>
            <w:pPr>
              <w:pStyle w:val="Normal"/>
              <w:widowControl w:val="false"/>
              <w:spacing w:lineRule="auto" w:line="240" w:before="0" w:after="0"/>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Процедуры выполняются в сроки согласно утвержденному плану мероприятий.</w:t>
            </w:r>
          </w:p>
        </w:tc>
      </w:tr>
      <w:tr>
        <w:trPr>
          <w:trHeight w:val="1578" w:hRule="atLeast"/>
        </w:trPr>
        <w:tc>
          <w:tcPr>
            <w:tcW w:w="95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8</w:t>
            </w:r>
          </w:p>
        </w:tc>
        <w:tc>
          <w:tcPr>
            <w:tcW w:w="622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Осуществление регулярного контроля данных бухгалтерского учета, наличия и достоверности первичных документов бухгалтерского учета</w:t>
            </w:r>
          </w:p>
        </w:tc>
        <w:tc>
          <w:tcPr>
            <w:tcW w:w="756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Проведены ежеквартальные заседания комиссии с составлением протоколов, ведется регулярный контроль данных бухгалтерского учета, наличия и достоверности первичных документов бухгалтерского учета.</w:t>
            </w:r>
          </w:p>
        </w:tc>
      </w:tr>
      <w:tr>
        <w:trPr>
          <w:trHeight w:val="2462" w:hRule="atLeast"/>
        </w:trPr>
        <w:tc>
          <w:tcPr>
            <w:tcW w:w="95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9</w:t>
            </w:r>
          </w:p>
        </w:tc>
        <w:tc>
          <w:tcPr>
            <w:tcW w:w="622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Осуществление регулярного контроля экономической обоснованности расходов в сферах с высоким коррупционным риском: обменом деловыми подарками, представительские расходы, благотворительные пожертвования, вознаграждения внешним консультантам</w:t>
            </w:r>
          </w:p>
        </w:tc>
        <w:tc>
          <w:tcPr>
            <w:tcW w:w="756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Проведены ежеквартальные заседания комиссии с составлением протоколов, ведется регулярный контроль экономической обоснованности расходов в сферах с высоким коррупционным риском: обменом деловыми подарками, представительские расходы, благотворительные пожертвования, вознаграждения внешним консультантам. Необоснованность обмена деловыми подарками, представительских расходов, благотворительных пожертвований, вознаграждений внешним консультантам не выявлена.</w:t>
            </w:r>
          </w:p>
        </w:tc>
      </w:tr>
      <w:tr>
        <w:trPr>
          <w:trHeight w:val="2681" w:hRule="atLeast"/>
        </w:trPr>
        <w:tc>
          <w:tcPr>
            <w:tcW w:w="95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10</w:t>
            </w:r>
          </w:p>
        </w:tc>
        <w:tc>
          <w:tcPr>
            <w:tcW w:w="622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Осуществление анкетирования сотрудников при приеме на работу на предмет возможной подконтрольности и подчиненности близких родственников</w:t>
            </w:r>
          </w:p>
        </w:tc>
        <w:tc>
          <w:tcPr>
            <w:tcW w:w="756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Проведены ежеквартальные заседания комиссии с составлением протоколов, отделом кадров ведется работа по анкетированию сотрудников при приеме на работу на предмет возможной подконтрольности и подчиненности близких родственников, в ходе проверки случаи не выявлены. За 2022 год обработано 14 анкет на выявление конфликта интересов при приеме на работу. Первый заместитель генерального директора  заполнил декларацию конфликта интересов. Была проанализирована. Конфликт интересов не обнаружен.</w:t>
            </w:r>
          </w:p>
        </w:tc>
      </w:tr>
      <w:tr>
        <w:trPr>
          <w:trHeight w:val="1035" w:hRule="atLeast"/>
        </w:trPr>
        <w:tc>
          <w:tcPr>
            <w:tcW w:w="95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11</w:t>
            </w:r>
          </w:p>
        </w:tc>
        <w:tc>
          <w:tcPr>
            <w:tcW w:w="622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Проведение регулярной оценки результатов работы по противодействию коррупции</w:t>
            </w:r>
          </w:p>
        </w:tc>
        <w:tc>
          <w:tcPr>
            <w:tcW w:w="756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Проводится оценка результатов работ по противодействию коррупции.</w:t>
            </w:r>
          </w:p>
        </w:tc>
      </w:tr>
      <w:tr>
        <w:trPr>
          <w:trHeight w:val="1065" w:hRule="atLeast"/>
        </w:trPr>
        <w:tc>
          <w:tcPr>
            <w:tcW w:w="95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12</w:t>
            </w:r>
          </w:p>
        </w:tc>
        <w:tc>
          <w:tcPr>
            <w:tcW w:w="622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Подготовка и распространение отчетных материалов о проводимой работе и достигнутых результатах в сфере противодействия коррупции</w:t>
            </w:r>
          </w:p>
        </w:tc>
        <w:tc>
          <w:tcPr>
            <w:tcW w:w="756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Отчетный материал о проводимой работе подготовлен и располагается на информационном стенде.</w:t>
            </w:r>
          </w:p>
        </w:tc>
      </w:tr>
      <w:tr>
        <w:trPr>
          <w:trHeight w:val="1065" w:hRule="atLeast"/>
        </w:trPr>
        <w:tc>
          <w:tcPr>
            <w:tcW w:w="95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13</w:t>
            </w:r>
          </w:p>
        </w:tc>
        <w:tc>
          <w:tcPr>
            <w:tcW w:w="622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Times New Roman" w:hAnsi="Times New Roman" w:eastAsia="Times New Roman" w:cs="Times New Roman"/>
                <w:color w:val="000000"/>
                <w:sz w:val="28"/>
                <w:szCs w:val="28"/>
                <w:lang w:eastAsia="ru-RU"/>
              </w:rPr>
            </w:pPr>
            <w:r>
              <w:rPr>
                <w:rFonts w:ascii="Times New Roman" w:hAnsi="Times New Roman"/>
                <w:sz w:val="28"/>
                <w:szCs w:val="28"/>
              </w:rPr>
              <w:t>Подготовка и утверждение результатов работы за год, а также обсуждение и принятие плана мероприятий на 2022 год</w:t>
            </w:r>
          </w:p>
        </w:tc>
        <w:tc>
          <w:tcPr>
            <w:tcW w:w="756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Утверждение результатов работы за 202</w:t>
            </w:r>
            <w:r>
              <w:rPr>
                <w:rFonts w:eastAsia="Times New Roman" w:cs="Times New Roman" w:ascii="Times New Roman" w:hAnsi="Times New Roman"/>
                <w:color w:val="000000"/>
                <w:kern w:val="0"/>
                <w:sz w:val="28"/>
                <w:szCs w:val="28"/>
                <w:lang w:val="ru-RU" w:eastAsia="ru-RU" w:bidi="ar-SA"/>
              </w:rPr>
              <w:t>2</w:t>
            </w:r>
            <w:r>
              <w:rPr>
                <w:rFonts w:eastAsia="Times New Roman" w:cs="Times New Roman" w:ascii="Times New Roman" w:hAnsi="Times New Roman"/>
                <w:color w:val="000000"/>
                <w:sz w:val="28"/>
                <w:szCs w:val="28"/>
                <w:lang w:eastAsia="ru-RU"/>
              </w:rPr>
              <w:t xml:space="preserve"> год, принятие плана мероприятий на 202</w:t>
            </w:r>
            <w:r>
              <w:rPr>
                <w:rFonts w:eastAsia="Times New Roman" w:cs="Times New Roman" w:ascii="Times New Roman" w:hAnsi="Times New Roman"/>
                <w:color w:val="000000"/>
                <w:kern w:val="0"/>
                <w:sz w:val="28"/>
                <w:szCs w:val="28"/>
                <w:lang w:val="ru-RU" w:eastAsia="ru-RU" w:bidi="ar-SA"/>
              </w:rPr>
              <w:t>3</w:t>
            </w:r>
            <w:r>
              <w:rPr>
                <w:rFonts w:eastAsia="Times New Roman" w:cs="Times New Roman" w:ascii="Times New Roman" w:hAnsi="Times New Roman"/>
                <w:color w:val="000000"/>
                <w:sz w:val="28"/>
                <w:szCs w:val="28"/>
                <w:lang w:eastAsia="ru-RU"/>
              </w:rPr>
              <w:t xml:space="preserve"> год.</w:t>
            </w:r>
            <w:bookmarkStart w:id="0" w:name="_GoBack"/>
            <w:bookmarkEnd w:id="0"/>
          </w:p>
        </w:tc>
      </w:tr>
    </w:tbl>
    <w:p>
      <w:pPr>
        <w:pStyle w:val="Normal"/>
        <w:jc w:val="center"/>
        <w:rPr>
          <w:rFonts w:ascii="Times New Roman" w:hAnsi="Times New Roman" w:cs="Times New Roman"/>
          <w:b/>
          <w:b/>
          <w:sz w:val="28"/>
          <w:szCs w:val="28"/>
        </w:rPr>
      </w:pPr>
      <w:r>
        <w:rPr>
          <w:rFonts w:cs="Times New Roman" w:ascii="Times New Roman" w:hAnsi="Times New Roman"/>
          <w:b/>
          <w:sz w:val="28"/>
          <w:szCs w:val="28"/>
        </w:rPr>
        <w:t xml:space="preserve"> </w:t>
      </w:r>
      <w:r>
        <w:rPr>
          <w:rFonts w:cs="Times New Roman" w:ascii="Times New Roman" w:hAnsi="Times New Roman"/>
          <w:b/>
          <w:sz w:val="28"/>
          <w:szCs w:val="28"/>
        </w:rPr>
        <w:br/>
      </w:r>
    </w:p>
    <w:p>
      <w:pPr>
        <w:pStyle w:val="Normal"/>
        <w:rPr>
          <w:rFonts w:ascii="Times New Roman" w:hAnsi="Times New Roman" w:cs="Times New Roman"/>
          <w:sz w:val="28"/>
          <w:szCs w:val="28"/>
        </w:rPr>
      </w:pPr>
      <w:r>
        <w:rPr/>
      </w:r>
    </w:p>
    <w:p>
      <w:pPr>
        <w:pStyle w:val="Normal"/>
        <w:spacing w:lineRule="auto" w:line="240" w:before="0" w:after="160"/>
        <w:contextualSpacing/>
        <w:rPr>
          <w:rFonts w:ascii="Times New Roman" w:hAnsi="Times New Roman" w:cs="Times New Roman"/>
          <w:sz w:val="28"/>
          <w:szCs w:val="28"/>
        </w:rPr>
      </w:pPr>
      <w:r>
        <w:rPr/>
      </w:r>
    </w:p>
    <w:sectPr>
      <w:type w:val="nextPage"/>
      <w:pgSz w:orient="landscape" w:w="16838" w:h="11906"/>
      <w:pgMar w:left="720" w:right="720" w:header="0" w:top="720" w:footer="0" w:bottom="72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Segoe UI">
    <w:charset w:val="cc"/>
    <w:family w:val="roman"/>
    <w:pitch w:val="variable"/>
  </w:font>
  <w:font w:name="Liberation Sans">
    <w:altName w:val="Arial"/>
    <w:charset w:val="cc"/>
    <w:family w:val="roman"/>
    <w:pitch w:val="variable"/>
  </w:font>
  <w:font w:name="Times New Roman">
    <w:charset w:val="cc"/>
    <w:family w:val="roman"/>
    <w:pitch w:val="variable"/>
  </w:font>
  <w:font w:name="Times New Roman">
    <w:altName w:val="serif"/>
    <w:charset w:val="cc"/>
    <w:family w:val="roman"/>
    <w:pitch w:val="variable"/>
  </w:font>
</w:fonts>
</file>

<file path=word/settings.xml><?xml version="1.0" encoding="utf-8"?>
<w:settings xmlns:w="http://schemas.openxmlformats.org/wordprocessingml/2006/main">
  <w:zoom w:percent="100"/>
  <w:defaultTabStop w:val="708"/>
  <w:mailMerge>
    <w:mainDocumentType w:val="formLetters"/>
    <w:dataType w:val="textFile"/>
    <w:query w:val="SELECT * FROM Адреса1.dbo.Лист1$"/>
  </w:mailMerge>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915335"/>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Верхний колонтитул Знак"/>
    <w:basedOn w:val="DefaultParagraphFont"/>
    <w:link w:val="a4"/>
    <w:uiPriority w:val="99"/>
    <w:qFormat/>
    <w:rsid w:val="00915335"/>
    <w:rPr/>
  </w:style>
  <w:style w:type="character" w:styleId="Style15" w:customStyle="1">
    <w:name w:val="Нижний колонтитул Знак"/>
    <w:basedOn w:val="DefaultParagraphFont"/>
    <w:link w:val="a6"/>
    <w:uiPriority w:val="99"/>
    <w:qFormat/>
    <w:rsid w:val="00915335"/>
    <w:rPr/>
  </w:style>
  <w:style w:type="character" w:styleId="Style16" w:customStyle="1">
    <w:name w:val="Текст выноски Знак"/>
    <w:basedOn w:val="DefaultParagraphFont"/>
    <w:link w:val="a8"/>
    <w:uiPriority w:val="99"/>
    <w:semiHidden/>
    <w:qFormat/>
    <w:rsid w:val="00e646f5"/>
    <w:rPr>
      <w:rFonts w:ascii="Segoe UI" w:hAnsi="Segoe UI" w:cs="Segoe UI"/>
      <w:sz w:val="18"/>
      <w:szCs w:val="18"/>
    </w:rPr>
  </w:style>
  <w:style w:type="paragraph" w:styleId="Style17">
    <w:name w:val="Заголовок"/>
    <w:basedOn w:val="Normal"/>
    <w:next w:val="Style18"/>
    <w:qFormat/>
    <w:pPr>
      <w:keepNext w:val="true"/>
      <w:spacing w:before="240" w:after="120"/>
    </w:pPr>
    <w:rPr>
      <w:rFonts w:ascii="Liberation Sans" w:hAnsi="Liberation Sans" w:eastAsia="Microsoft YaHei" w:cs="Arial"/>
      <w:sz w:val="28"/>
      <w:szCs w:val="28"/>
    </w:rPr>
  </w:style>
  <w:style w:type="paragraph" w:styleId="Style18">
    <w:name w:val="Body Text"/>
    <w:basedOn w:val="Normal"/>
    <w:pPr>
      <w:spacing w:lineRule="auto" w:line="276" w:before="0" w:after="140"/>
    </w:pPr>
    <w:rPr/>
  </w:style>
  <w:style w:type="paragraph" w:styleId="Style19">
    <w:name w:val="List"/>
    <w:basedOn w:val="Style18"/>
    <w:pPr/>
    <w:rPr>
      <w:rFonts w:cs="Arial"/>
    </w:rPr>
  </w:style>
  <w:style w:type="paragraph" w:styleId="Style20">
    <w:name w:val="Caption"/>
    <w:basedOn w:val="Normal"/>
    <w:qFormat/>
    <w:pPr>
      <w:suppressLineNumbers/>
      <w:spacing w:before="120" w:after="120"/>
    </w:pPr>
    <w:rPr>
      <w:rFonts w:cs="Arial"/>
      <w:i/>
      <w:iCs/>
      <w:sz w:val="24"/>
      <w:szCs w:val="24"/>
    </w:rPr>
  </w:style>
  <w:style w:type="paragraph" w:styleId="Style21">
    <w:name w:val="Указатель"/>
    <w:basedOn w:val="Normal"/>
    <w:qFormat/>
    <w:pPr>
      <w:suppressLineNumbers/>
    </w:pPr>
    <w:rPr>
      <w:rFonts w:cs="Arial"/>
    </w:rPr>
  </w:style>
  <w:style w:type="paragraph" w:styleId="Style22">
    <w:name w:val="Верхний и нижний колонтитулы"/>
    <w:basedOn w:val="Normal"/>
    <w:qFormat/>
    <w:pPr/>
    <w:rPr/>
  </w:style>
  <w:style w:type="paragraph" w:styleId="Style23">
    <w:name w:val="Header"/>
    <w:basedOn w:val="Normal"/>
    <w:link w:val="a5"/>
    <w:uiPriority w:val="99"/>
    <w:unhideWhenUsed/>
    <w:rsid w:val="00915335"/>
    <w:pPr>
      <w:tabs>
        <w:tab w:val="clear" w:pos="708"/>
        <w:tab w:val="center" w:pos="4677" w:leader="none"/>
        <w:tab w:val="right" w:pos="9355" w:leader="none"/>
      </w:tabs>
      <w:spacing w:lineRule="auto" w:line="240" w:before="0" w:after="0"/>
    </w:pPr>
    <w:rPr/>
  </w:style>
  <w:style w:type="paragraph" w:styleId="Style24">
    <w:name w:val="Footer"/>
    <w:basedOn w:val="Normal"/>
    <w:link w:val="a7"/>
    <w:uiPriority w:val="99"/>
    <w:unhideWhenUsed/>
    <w:rsid w:val="00915335"/>
    <w:pPr>
      <w:tabs>
        <w:tab w:val="clear" w:pos="708"/>
        <w:tab w:val="center" w:pos="4677" w:leader="none"/>
        <w:tab w:val="right" w:pos="9355" w:leader="none"/>
      </w:tabs>
      <w:spacing w:lineRule="auto" w:line="240" w:before="0" w:after="0"/>
    </w:pPr>
    <w:rPr/>
  </w:style>
  <w:style w:type="paragraph" w:styleId="BalloonText">
    <w:name w:val="Balloon Text"/>
    <w:basedOn w:val="Normal"/>
    <w:link w:val="a9"/>
    <w:uiPriority w:val="99"/>
    <w:semiHidden/>
    <w:unhideWhenUsed/>
    <w:qFormat/>
    <w:rsid w:val="00e646f5"/>
    <w:pPr>
      <w:spacing w:lineRule="auto" w:line="240" w:before="0" w:after="0"/>
    </w:pPr>
    <w:rPr>
      <w:rFonts w:ascii="Segoe UI" w:hAnsi="Segoe UI" w:cs="Segoe UI"/>
      <w:sz w:val="18"/>
      <w:szCs w:val="18"/>
    </w:rPr>
  </w:style>
  <w:style w:type="paragraph" w:styleId="ListParagraph">
    <w:name w:val="List Paragraph"/>
    <w:basedOn w:val="Normal"/>
    <w:uiPriority w:val="34"/>
    <w:qFormat/>
    <w:rsid w:val="00c115fe"/>
    <w:pPr>
      <w:spacing w:lineRule="auto" w:line="276" w:before="0" w:after="200"/>
      <w:ind w:left="720" w:hanging="0"/>
      <w:contextualSpacing/>
    </w:pPr>
    <w:rPr>
      <w:rFonts w:eastAsia="" w:eastAsiaTheme="minorEastAsia"/>
      <w:lang w:eastAsia="ru-RU"/>
    </w:rPr>
  </w:style>
  <w:style w:type="paragraph" w:styleId="Style25">
    <w:name w:val="Содержимое таблицы"/>
    <w:basedOn w:val="Normal"/>
    <w:qFormat/>
    <w:pPr>
      <w:widowControl w:val="false"/>
      <w:suppressLineNumbers/>
    </w:pPr>
    <w:rPr/>
  </w:style>
  <w:style w:type="paragraph" w:styleId="Style26">
    <w:name w:val="Заголовок таблицы"/>
    <w:basedOn w:val="Style25"/>
    <w:qFormat/>
    <w:pPr>
      <w:suppressLineNumbers/>
      <w:jc w:val="center"/>
    </w:pPr>
    <w:rPr>
      <w:b/>
      <w:bCs/>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3">
    <w:name w:val="Table Grid"/>
    <w:basedOn w:val="a1"/>
    <w:uiPriority w:val="39"/>
    <w:rsid w:val="0091533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AA8553-4302-431E-8E32-2422E0929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TotalTime>
  <Application>LibreOffice/7.1.4.2$Windows_X86_64 LibreOffice_project/a529a4fab45b75fefc5b6226684193eb000654f6</Application>
  <AppVersion>15.0000</AppVersion>
  <Pages>3</Pages>
  <Words>536</Words>
  <Characters>4203</Characters>
  <CharactersWithSpaces>4699</CharactersWithSpaces>
  <Paragraphs>48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2019-12-19T07:58:00Z</dcterms:created>
  <dc:creator>Dolgova</dc:creator>
  <dc:description/>
  <dc:language>ru-RU</dc:language>
  <cp:lastModifiedBy/>
  <cp:lastPrinted>2020-12-10T05:08:00Z</cp:lastPrinted>
  <dcterms:modified xsi:type="dcterms:W3CDTF">2023-03-28T16:04:13Z</dcterms:modified>
  <cp:revision>18</cp:revision>
  <dc:subject/>
  <dc:title/>
</cp:coreProperties>
</file>

<file path=docProps/custom.xml><?xml version="1.0" encoding="utf-8"?>
<Properties xmlns="http://schemas.openxmlformats.org/officeDocument/2006/custom-properties" xmlns:vt="http://schemas.openxmlformats.org/officeDocument/2006/docPropsVTypes"/>
</file>