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end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start="0" w:end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108" w:after="108"/>
        <w:ind w:start="0" w:end="0" w:hanging="0"/>
        <w:jc w:val="end"/>
        <w:outlineLvl w:val="0"/>
        <w:rPr/>
      </w:pPr>
      <w:r>
        <w:rPr>
          <w:rFonts w:cs="Times New Roman CYR" w:ascii="Times New Roman CYR" w:hAnsi="Times New Roman CYR"/>
        </w:rPr>
        <w:t>Приложение №5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108" w:after="108"/>
        <w:ind w:start="0" w:end="0" w:hanging="0"/>
        <w:jc w:val="end"/>
        <w:outlineLvl w:val="0"/>
        <w:rPr/>
      </w:pPr>
      <w:r>
        <w:rPr>
          <w:rFonts w:cs="Times New Roman CYR" w:ascii="Times New Roman CYR" w:hAnsi="Times New Roman CYR"/>
        </w:rPr>
        <w:t>УТВЕРЖДАЮ</w:t>
      </w:r>
    </w:p>
    <w:p>
      <w:pPr>
        <w:pStyle w:val="Normal"/>
        <w:widowControl w:val="false"/>
        <w:bidi w:val="0"/>
        <w:spacing w:lineRule="auto" w:line="360"/>
        <w:ind w:start="0" w:end="0" w:firstLine="720"/>
        <w:jc w:val="end"/>
        <w:rPr/>
      </w:pPr>
      <w:r>
        <w:rPr>
          <w:rFonts w:cs="Times New Roman CYR" w:ascii="Times New Roman CYR" w:hAnsi="Times New Roman CYR"/>
        </w:rPr>
        <w:t>Генеральный директор ______________ Д.В. Игнатов</w:t>
      </w:r>
    </w:p>
    <w:p>
      <w:pPr>
        <w:pStyle w:val="Normal"/>
        <w:widowControl w:val="false"/>
        <w:bidi w:val="0"/>
        <w:ind w:start="0" w:end="0" w:hanging="0"/>
        <w:jc w:val="end"/>
        <w:rPr/>
      </w:pPr>
      <w:r>
        <w:rPr>
          <w:rFonts w:cs="Times New Roman CYR" w:ascii="Times New Roman CYR" w:hAnsi="Times New Roman CYR"/>
        </w:rPr>
        <w:t>«___»_______________20___г.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108" w:after="108"/>
        <w:ind w:start="0" w:end="0" w:hanging="0"/>
        <w:jc w:val="center"/>
        <w:outlineLvl w:val="0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</w:r>
    </w:p>
    <w:p>
      <w:pPr>
        <w:pStyle w:val="Normal"/>
        <w:bidi w:val="0"/>
        <w:ind w:start="0" w:end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start="0" w:end="0" w:hanging="0"/>
        <w:jc w:val="center"/>
        <w:rPr/>
      </w:pPr>
      <w:r>
        <w:rPr>
          <w:b/>
          <w:bCs/>
        </w:rPr>
        <w:t xml:space="preserve">План мероприятий </w:t>
      </w:r>
    </w:p>
    <w:p>
      <w:pPr>
        <w:pStyle w:val="Normal"/>
        <w:bidi w:val="0"/>
        <w:ind w:start="0" w:end="0" w:hanging="0"/>
        <w:jc w:val="center"/>
        <w:rPr/>
      </w:pPr>
      <w:r>
        <w:rPr>
          <w:b/>
          <w:bCs/>
        </w:rPr>
        <w:t>по противодействию коррупции в ООО «СамРЭК-Тепло Жигулевск»</w:t>
      </w:r>
    </w:p>
    <w:p>
      <w:pPr>
        <w:pStyle w:val="Normal"/>
        <w:bidi w:val="0"/>
        <w:ind w:start="0" w:end="0" w:hanging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4850" w:type="dxa"/>
        <w:jc w:val="start"/>
        <w:tblInd w:w="-10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86"/>
        <w:gridCol w:w="6839"/>
        <w:gridCol w:w="4757"/>
        <w:gridCol w:w="2267"/>
      </w:tblGrid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142" w:end="0" w:hanging="0"/>
              <w:rPr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center"/>
              <w:rPr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center"/>
              <w:rPr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center"/>
              <w:rPr/>
            </w:pPr>
            <w:r>
              <w:rPr>
                <w:b/>
                <w:bCs/>
              </w:rPr>
              <w:t>Срок исполнения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Ежегодное заполнение декларации о конфликте интересов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31.12.2022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31.12.2022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При внесении изменений в нормативные документы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При внесении изменений в законодательство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31.12.2022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Оформление информационного стенда по вопросам противодействия проявлениям коррупции, размещение информации на Интернет-ресурсе Организации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31.12.2022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Осуществление регулярного контроля соблюдения внутренних процедур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ежеквартально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ежеквартально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ежеквартально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Осуществление анкетирования сотрудников при приеме на работу, в дальнейшем – ежегодно на предмет выявления возможной подконтрольности и подчиненности близких родственников.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постоянно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Привлечение внешних независимых экспертов при осуществлении хозяйственной деятельности организации и организации антикоррупционных мер (по мере необходимости)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31.12.2022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31.12.2022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start="426" w:end="0" w:hanging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widowControl w:val="false"/>
              <w:bidi w:val="0"/>
              <w:ind w:start="0" w:end="0" w:hanging="0"/>
              <w:rPr/>
            </w:pPr>
            <w:r>
              <w:rPr/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4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Игнатов Д.В.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/>
              </w:rPr>
              <w:t>31.12.2022</w:t>
            </w:r>
          </w:p>
        </w:tc>
      </w:tr>
    </w:tbl>
    <w:p>
      <w:pPr>
        <w:pStyle w:val="Style23"/>
        <w:widowControl w:val="false"/>
        <w:bidi w:val="0"/>
        <w:ind w:start="0" w:end="0" w:hanging="0"/>
        <w:rPr/>
      </w:pPr>
      <w:r>
        <w:rPr/>
      </w:r>
    </w:p>
    <w:sectPr>
      <w:type w:val="nextPage"/>
      <w:pgSz w:orient="landscape" w:w="16838" w:h="11906"/>
      <w:pgMar w:left="1134" w:right="1134" w:header="0" w:top="539" w:footer="0" w:bottom="85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070" w:hanging="360"/>
      </w:pPr>
      <w:rPr>
        <w:b/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widowControl w:val="false"/>
      <w:spacing w:before="108" w:after="108"/>
      <w:jc w:val="center"/>
      <w:outlineLvl w:val="0"/>
    </w:pPr>
    <w:rPr>
      <w:rFonts w:ascii="Times New Roman CYR" w:hAnsi="Times New Roman CYR" w:cs="Times New Roman CYR"/>
      <w:b/>
      <w:bCs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/>
      <w:b/>
      <w:bCs/>
      <w:kern w:val="2"/>
      <w:sz w:val="32"/>
      <w:szCs w:val="32"/>
    </w:rPr>
  </w:style>
  <w:style w:type="character" w:styleId="Style13">
    <w:name w:val="Нижний колонтитул Знак"/>
    <w:basedOn w:val="DefaultParagraph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Style24">
    <w:name w:val="Знак"/>
    <w:basedOn w:val="Normal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Style25">
    <w:name w:val="Прижатый влево"/>
    <w:basedOn w:val="Normal"/>
    <w:qFormat/>
    <w:pPr>
      <w:widowControl w:val="false"/>
    </w:pPr>
    <w:rPr>
      <w:rFonts w:ascii="Times New Roman CYR" w:hAnsi="Times New Roman CYR" w:cs="Times New Roman CY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LibreOffice/7.1.4.2$Windows_X86_64 LibreOffice_project/a529a4fab45b75fefc5b6226684193eb000654f6</Application>
  <AppVersion>15.0000</AppVersion>
  <Pages>2</Pages>
  <Words>261</Words>
  <Characters>2137</Characters>
  <CharactersWithSpaces>2338</CharactersWithSpaces>
  <Paragraphs>62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2017-12-02T22:01:00Z</dcterms:created>
  <dc:creator>user</dc:creator>
  <dc:description/>
  <dc:language>ru-RU</dc:language>
  <cp:lastModifiedBy/>
  <cp:lastPrinted>2014-11-13T11:34:00Z</cp:lastPrinted>
  <dcterms:modified xsi:type="dcterms:W3CDTF">2023-03-29T14:55:00Z</dcterms:modified>
  <cp:revision>13</cp:revision>
  <dc:subject/>
  <dc:title>УТВЕРЖДЕН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Самсонов Денис Юрьевич</vt:lpwstr>
  </property>
</Properties>
</file>