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Web"/>
        <w:spacing w:before="280" w:after="280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>
      <w:pPr>
        <w:pStyle w:val="NormalWeb"/>
        <w:spacing w:before="280" w:after="280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Style w:val="Strong"/>
          <w:color w:val="000000"/>
          <w:sz w:val="28"/>
          <w:szCs w:val="28"/>
        </w:rPr>
        <w:t>Утверждаю</w:t>
      </w:r>
    </w:p>
    <w:p>
      <w:pPr>
        <w:pStyle w:val="NormalWeb"/>
        <w:spacing w:before="280" w:after="280"/>
        <w:jc w:val="both"/>
        <w:rPr>
          <w:rStyle w:val="Strong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b w:val="false"/>
          <w:bCs w:val="false"/>
          <w:color w:val="000000"/>
          <w:sz w:val="28"/>
          <w:szCs w:val="28"/>
        </w:rPr>
        <w:t xml:space="preserve">                                    </w:t>
      </w:r>
      <w:r>
        <w:rPr>
          <w:rStyle w:val="Strong"/>
          <w:b w:val="false"/>
          <w:bCs w:val="false"/>
          <w:color w:val="000000"/>
          <w:sz w:val="28"/>
          <w:szCs w:val="28"/>
        </w:rPr>
        <w:t>Генеральный директор_____________Д.О.</w:t>
      </w:r>
      <w:r>
        <w:rPr>
          <w:rStyle w:val="Strong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Воловельский</w:t>
      </w:r>
    </w:p>
    <w:p>
      <w:pPr>
        <w:pStyle w:val="NormalWeb"/>
        <w:spacing w:before="280" w:after="280"/>
        <w:jc w:val="both"/>
        <w:rPr>
          <w:rStyle w:val="Strong"/>
          <w:b w:val="false"/>
          <w:b w:val="false"/>
          <w:bCs w:val="false"/>
          <w:color w:val="000000"/>
          <w:sz w:val="28"/>
          <w:szCs w:val="28"/>
        </w:rPr>
      </w:pPr>
      <w:r>
        <w:rPr>
          <w:rStyle w:val="Strong"/>
          <w:b w:val="false"/>
          <w:bCs w:val="false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Style w:val="Strong"/>
          <w:b w:val="false"/>
          <w:bCs w:val="false"/>
          <w:color w:val="000000"/>
          <w:sz w:val="28"/>
          <w:szCs w:val="28"/>
        </w:rPr>
        <w:t>«___» _______________20</w:t>
      </w:r>
      <w:r>
        <w:rPr>
          <w:rStyle w:val="Strong"/>
          <w:rFonts w:eastAsia="Times New Roman" w:cs="Times New Roman"/>
          <w:b w:val="false"/>
          <w:bCs w:val="false"/>
          <w:color w:val="000000"/>
          <w:sz w:val="28"/>
          <w:szCs w:val="28"/>
          <w:lang w:val="en-US" w:eastAsia="ru-RU"/>
        </w:rPr>
        <w:t>22</w:t>
      </w:r>
      <w:r>
        <w:rPr>
          <w:rStyle w:val="Strong"/>
          <w:b w:val="false"/>
          <w:bCs w:val="false"/>
          <w:color w:val="000000"/>
          <w:sz w:val="28"/>
          <w:szCs w:val="28"/>
        </w:rPr>
        <w:t>г.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Положение о конфликте интересов, декларации о конфликте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интересов в АО «СамРЭК»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1.Цели и задачи Положения.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 Настоящее Положение о конфликте интересов, декларации о конфликте интересов в АО «СамРЭК» (далее –Положение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1.3. Работники должны избегать любых конфликтов интересов, должны быть независимы от конфликта интересов, затрагивающего организацию.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2.Меры по предотвращению конфликта интересов.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2.1. Основными мерами по предотвращению конфликтов интересов являются: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распределение полномочий приказом о распределении обязанностей между руководителем и заместителями руководителя организации;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выдача определенному кругу работников доверенностей на совершение действий, отдельных видов сделок;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 (или) организации, с которыми руководитель организации и работники либо члены их семей имеют личные связи или финансовые интересы;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представление гражданами при приеме на должности, включенные в Перечень должностей АО «СамРЭК»  с  высоким риском коррупционных проявлений, декларации конфликта интересов (Приложение 3 к Положению о конфликте интересов);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представление работниками, замещающими должности, включенные в Перечень должностей АО «СамРЭК» с высоким риском коррупционных проявлений, декларации конфликта интересов;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3.Обязанности руководителя организации и работников по предотвращению конфликта интересов.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3.1. В целях предотвращения конфликта интересов руководитель организации и работники обязаны: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исполнять обязанности с учетом разграничения полномочий, установленных локальными нормативными актами организации;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обеспечивать эффективность управления финансовыми, материальными и кадровыми ресурсами организации;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обеспечивать максимально возможную результативность при совершении сделок;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обеспечивать достоверность бухгалтерской отчетности и иной публикуемой информации;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предоставлять исчерпывающую информацию по вопросам, которые могут стать предметом конфликта интересов;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обеспечивать сохранность денежных средств и другого имущества организации;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4.Порядок предотвращения или урегулирования конфликта интересов.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4.1. Урегулирование (устранение) конфликтов интересов осуществляется должностным лицом, ответственным за реализацию Антикоррупционной политики.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4.2. Работники должны без промедления сообщать о любых конфликтах интересов руководителю организации и должностному лицу, ответственному за реализацию Антикоррупционной политики, с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Выбор приемлемых процедур и метода устранения конфликта интересов в каждом конкретном случае зависит от характера самого конфликта.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4.3. Лицо, ответственное за реализацию Антикоррупционной политики, не позднее семи рабочих дней со дня поступления сообщения должно выдать работнику письменные рекомендации по разрешению конфликта интересов.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4.4. Предотвращение или урегулирование конфликта интересов может состоять в: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пересмотре и изменении трудовых обязанностей работника;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временном отстранении работника от должности, если его личные интересы входят в противоречие с трудовыми обязанностями;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переводе работника на должность, предусматривающую выполнение трудовых обязанностей, не связанных с конфликтом интересов;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отказе работника от своего личного интереса, порождающего конфликт с интересами организации;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увольнении работника из организации по инициативе работника;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4.5. Типовые ситуации конфликта интересов приведены в Приложении 2 к Положению о конфликте интересов.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Приложение 1 к Положению о конфликте интересов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Декларация конфликта интересов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Перед заполнением настоящей Декларации я __________________________________________________________________ознакомился с Антикоррупционной политикой АО «СамРЭК»  мне понятны Кодекс этики и служебного поведения работников организации, Положение о конфликте интересов.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  <w:softHyphen/>
        <w:softHyphen/>
        <w:softHyphen/>
        <w:softHyphen/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(подпись работника)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Кому:(указывается ФИО и должность непосредственного начальника)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кого:(ФИО работника, заполнившего Декларацию)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Должность: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Дата заполнения Декларации охватывает период времени с</w:t>
        <w:softHyphen/>
        <w:t>____ по____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руководителем.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Необходимо дать разъяснения ко всем ответам «да».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 заполнении Декларации необходимо учесть, что все поставленные вопросы распространяются не только на Вас, но и на Ваших супругу(а), родителей (в том числе приемных), детей (в том числе приемных), родных и двоюродных братьев и сестер.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1.Внешние интересы или активы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 активах организации?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 деятельности компании-конкуренте или физическом лице-конкуренте организации?_______________________________________________________</w:t>
      </w: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 компании или организации, выступающей стороной в судебном или арбитражном разбирательстве сорганизацией?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</w:t>
        <w:softHyphen/>
        <w:softHyphen/>
        <w:softHyphen/>
        <w:softHyphen/>
        <w:t>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 Являетесь ли Вы или лица, действующие в Ваших интересах, членами органов управления или исполнительными руководителями, а также работниками, консультантами или доверенными лицами: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 компании, находящейся в деловых отношениях с организацией?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__________________ ________________________________________________       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 компании, которая ищет возможность построить деловые отношения с организацией, или ведет с ней переговоры?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 компании-конкуренте организации?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Symbol" w:cs="Symbol" w:ascii="Symbol" w:hAnsi="Symbol"/>
          <w:sz w:val="28"/>
          <w:szCs w:val="28"/>
          <w:lang w:eastAsia="ru-RU"/>
        </w:rPr>
        <w:t></w:t>
      </w:r>
      <w:r>
        <w:rPr>
          <w:rFonts w:eastAsia="Times New Roman" w:cs="Times New Roman"/>
          <w:sz w:val="28"/>
          <w:szCs w:val="28"/>
          <w:lang w:eastAsia="ru-RU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2.Личные интересы и честное ведение бизнеса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2.1.Участвовали ли Вы в какой-либо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2.3.Производили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3.Взаимоотношения с государственными служащими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3.1.Производили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деятельности или приобретения новых возможностей для деятельности организации?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4.Инсайдерская информация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4.1.Раскрывали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4.2.Раскрывали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5.Ресурсы организации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5.1.Использовали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5.2.Участвуете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6.Равные права работников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6.1.Работают ли члены Вашей семьи или близкие родственники в организации, в том числе под Вашим прямым руководством?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6.2.Работает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__________________________________________________________________6.3.Оказывали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7.Другие вопросы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7.1.Известно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8.Декларация о доходах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8.1.Какие доходы получили Вы и члены Вашей семьи по месту основной работы за отчетный период?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__________________________________________________________________8.2.Какие доходы получили Вы и члены Вашей семьи не по месту основной работы за отчетный период?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Подпись:__________________ ФИО:___________________________________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Достоверность и полнота изложенной в Декларации информации проверена: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Представитель кадровой службы ___________________________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(Ф.И.О., подпись)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Решение непосредственного руководителя по декларации (подтвердить подписью):</w:t>
      </w:r>
    </w:p>
    <w:tbl>
      <w:tblPr>
        <w:tblStyle w:val="a3"/>
        <w:tblW w:w="93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2"/>
        <w:gridCol w:w="1412"/>
      </w:tblGrid>
      <w:tr>
        <w:trPr/>
        <w:tc>
          <w:tcPr>
            <w:tcW w:w="7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Конфликт интересов не был обнаружен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 ограничил работнику доступ к информации организации, которая может иметь отношение к его личным частным интересам работника (указать какой информации)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 пересмотрел круг обязанностей и трудовых функций работника (указать каких обязанностей)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  <w:tr>
        <w:trPr/>
        <w:tc>
          <w:tcPr>
            <w:tcW w:w="7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Непосредственный руководитель ____________________Подпись_________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Приложение 2 к Положению о конфликте интересов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Типовые ситуации конфликта интересов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Пример: работник банка, принимающий решения о выдаче банковского кредита, принимает такое решение в отношении своего друга или родственника.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>Пример: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 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Пример: работник организации, ответственный за закупку материальных средств производства,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Пример: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 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Пример: работник организации А 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 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 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Пример: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6. Работник организации А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Пример: работник организации А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7. 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Пример: работник организации А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8. Работник организации А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Пример: организация Б имеет 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 А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9. Работник организации А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Пример: работник организации А,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10. Работник организации 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Пример: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повышении заработной платы подчиненным сотрудникам и назначении на более высокие должности в организации. 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 :рекомендация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11. Работник организации А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Пример: организация Б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12. Работник организации А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Пример: работник организации  А,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br w:type="page"/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Приложение 3 к Положению о конфликте интересов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Перечень должностей АО «СамРЭК»  с  высоким риском коррупционных проявлений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Руководство АО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color w:val="000000"/>
                <w:sz w:val="28"/>
              </w:rPr>
              <w:t>Генеральный директор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color w:val="000000"/>
                <w:sz w:val="28"/>
              </w:rPr>
              <w:t>Первый заместитель генерального директора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color w:val="000000"/>
                <w:sz w:val="28"/>
              </w:rPr>
              <w:t>Заместитель генерального директора по развитию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Административно-хозяйственный отдел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Начальник отдела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Правовой департамент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Руководитель департамента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сопровождения объектов недвижимости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color w:val="000000"/>
                <w:sz w:val="28"/>
              </w:rPr>
              <w:t>Начальник отдела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color w:val="000000"/>
                <w:sz w:val="28"/>
              </w:rPr>
              <w:t>Ведущий юрисконсульт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правового сопровождения и корпоративного управления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Начальник отдела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 xml:space="preserve"> 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внутреннего контроля и аудита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Начальник отдела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по работе с дебиторской задолженностью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Начальник отдела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b w:val="false"/>
                <w:b w:val="false"/>
                <w:bCs w:val="false"/>
                <w:color w:val="000000"/>
                <w:sz w:val="28"/>
              </w:rPr>
            </w:pPr>
            <w:r>
              <w:rPr>
                <w:b w:val="false"/>
                <w:bCs w:val="false"/>
                <w:color w:val="000000"/>
                <w:sz w:val="28"/>
              </w:rPr>
              <w:t>Ведущий юрисконсульт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организации торгов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Начальник отдела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Ведущий специалист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развития инфраструктурных проектов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Заместитель начальника отдела (Жигулевск)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Заместитель начальника отдела по техническому аудиту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Специалист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Департамент  финансово-экономического планирования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Руководитель департамента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Планово-экономический отдел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Начальник отдела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казначейства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Начальник отдела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Ведущий специалист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бухгалтерского учета и налогообложения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Главный бухгалтер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Заместитель главного бухгалтера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Style20"/>
              <w:widowControl w:val="false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Старший бухгалтер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управления персоналом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Начальник отдела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Отдел информационных технологий</w:t>
            </w:r>
          </w:p>
        </w:tc>
      </w:tr>
      <w:tr>
        <w:trPr>
          <w:trHeight w:val="458" w:hRule="atLeast"/>
        </w:trPr>
        <w:tc>
          <w:tcPr>
            <w:tcW w:w="9360" w:type="dxa"/>
            <w:tcBorders/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u w:val="none"/>
                <w:em w:val="none"/>
              </w:rPr>
              <w:t>Начальник отдела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224e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5057a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f4e8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224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15057a"/>
    <w:pPr>
      <w:spacing w:lineRule="auto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09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LibreOffice/7.1.4.2$Windows_X86_64 LibreOffice_project/a529a4fab45b75fefc5b6226684193eb000654f6</Application>
  <AppVersion>15.0000</AppVersion>
  <Pages>16</Pages>
  <Words>3202</Words>
  <Characters>25205</Characters>
  <CharactersWithSpaces>28939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2019-06-19T08:50:00Z</dcterms:created>
  <dc:creator>Maslov</dc:creator>
  <dc:description/>
  <dc:language>ru-RU</dc:language>
  <cp:lastModifiedBy/>
  <cp:lastPrinted>2019-06-18T11:25:00Z</cp:lastPrinted>
  <dcterms:modified xsi:type="dcterms:W3CDTF">2022-12-22T10:20:08Z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